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MUTUAL NON-DISCLOSURE AGREEMENT</w:t>
      </w:r>
    </w:p>
    <w:p>
      <w:pPr>
        <w:jc w:val="center"/>
      </w:pPr>
      <w:r>
        <w:rPr>
          <w:i/>
          <w:sz w:val="18"/>
        </w:rPr>
        <w:t>This document is a sample template provided for information only. It is not legal advice. Each party should obtain independent legal advice before signing. Text in [square brackets] must be completed or confirmed.</w:t>
      </w:r>
    </w:p>
    <w:p>
      <w:r>
        <w:t>This Mutual Non-Disclosure Agreement (the "Agreement") is made on [DATE] (the "Effective Date") between:</w:t>
      </w:r>
    </w:p>
    <w:p>
      <w:r>
        <w:rPr>
          <w:b/>
        </w:rPr>
        <w:t>(1)</w:t>
      </w:r>
      <w:r>
        <w:t xml:space="preserve"> StorTech Solutions LLC, a limited liability company registered in Dubai, United Arab Emirates, under Trade Licence No. 712255, with its office at Office 1505, Tower B, Prime Business Center, Jumeirah Village Circle, Dubai, UAE ("StorTech"); and</w:t>
      </w:r>
    </w:p>
    <w:p>
      <w:r>
        <w:rPr>
          <w:b/>
        </w:rPr>
        <w:t>(2)</w:t>
      </w:r>
      <w:r>
        <w:t xml:space="preserve"> [COUNTERPARTY LEGAL NAME], a [COMPANY TYPE] registered in [JURISDICTION] under [Trade Licence / Registration No. NUMBER], with its office at [REGISTERED ADDRESS] (the "Counterparty"),</w:t>
      </w:r>
    </w:p>
    <w:p>
      <w:r>
        <w:t>each a "Party" and together the "Parties".</w:t>
      </w:r>
    </w:p>
    <w:p>
      <w:pPr>
        <w:pStyle w:val="Heading2"/>
      </w:pPr>
      <w:r>
        <w:t>Background</w:t>
      </w:r>
    </w:p>
    <w:p>
      <w:r>
        <w:t>The Parties wish to discuss and may enter into a business relationship concerning [information technology services, including servers, storage, backup and disaster recovery, networking and security, Microsoft 365 and software licensing] (the "Purpose"). In doing so, each Party (as "Disclosing Party") may disclose Confidential Information to the other (as "Receiving Party"). This Agreement sets out the terms on which such information is protected.</w:t>
      </w:r>
    </w:p>
    <w:p>
      <w:pPr>
        <w:pStyle w:val="Heading2"/>
      </w:pPr>
      <w:r>
        <w:t>1. Definitions</w:t>
      </w:r>
    </w:p>
    <w:p>
      <w:r>
        <w:t>1.1 "Confidential Information" means all information, in any form or medium (written, oral, electronic, visual or by access to systems or premises), disclosed by or on behalf of the Disclosing Party to the Receiving Party, or otherwise obtained by the Receiving Party in connection with the Purpose, whether before or after the Effective Date, that is marked or identified as confidential or that a reasonable person would understand to be confidential. It includes, without limitation:</w:t>
      </w:r>
    </w:p>
    <w:p>
      <w:pPr>
        <w:ind w:left="480"/>
      </w:pPr>
      <w:r>
        <w:t>(a) system architectures, solution designs, network diagrams, rack layouts and technical blueprints;</w:t>
      </w:r>
    </w:p>
    <w:p>
      <w:pPr>
        <w:ind w:left="480"/>
      </w:pPr>
      <w:r>
        <w:t>(b) configurations of servers, storage, backup and disaster recovery systems, network and security devices, cloud tenants and software, including configuration files, exports and backups;</w:t>
      </w:r>
    </w:p>
    <w:p>
      <w:pPr>
        <w:ind w:left="480"/>
      </w:pPr>
      <w:r>
        <w:t>(c) credentials of any kind, including usernames, passwords, passphrases, encryption keys, certificates, API keys, tokens, multi-factor authentication seeds and recovery codes (together, "Credentials");</w:t>
      </w:r>
    </w:p>
    <w:p>
      <w:pPr>
        <w:ind w:left="480"/>
      </w:pPr>
      <w:r>
        <w:t>(d) IP addressing schemes, firewall rules, VPN and remote-access details, and security policies and procedures;</w:t>
      </w:r>
    </w:p>
    <w:p>
      <w:pPr>
        <w:ind w:left="480"/>
      </w:pPr>
      <w:r>
        <w:t>(e) the identity of either Party's clients, the existence of the business relationship, and commercial terms, pricing, proposals and licensing information;</w:t>
      </w:r>
    </w:p>
    <w:p>
      <w:pPr>
        <w:ind w:left="480"/>
      </w:pPr>
      <w:r>
        <w:t>(f) personal data, business plans, financial information, and know-how; and</w:t>
      </w:r>
    </w:p>
    <w:p>
      <w:pPr>
        <w:ind w:left="480"/>
      </w:pPr>
      <w:r>
        <w:t>(g) any notes, analyses, compilations or other materials prepared by the Receiving Party that contain or reflect any of the above.</w:t>
      </w:r>
    </w:p>
    <w:p>
      <w:r>
        <w:t>1.2 "Configuration Materials" means the information described in clauses 1.1(a) to 1.1(d).</w:t>
      </w:r>
    </w:p>
    <w:p>
      <w:r>
        <w:t>1.3 "Representatives" means a Party's directors, officers, employees, professional advisers, and approved subcontractors who need to know the Confidential Information for the Purpose.</w:t>
      </w:r>
    </w:p>
    <w:p>
      <w:pPr>
        <w:pStyle w:val="Heading2"/>
      </w:pPr>
      <w:r>
        <w:t>2. Obligations of confidentiality</w:t>
      </w:r>
    </w:p>
    <w:p>
      <w:r>
        <w:t>2.1 The Receiving Party shall: (a) keep the Confidential Information strictly confidential; (b) use it only for the Purpose; (c) not disclose it to any person other than its Representatives in accordance with clause 2.2; and (d) protect it using at least the same degree of care it uses for its own confidential information of a similar nature, and in any event no less than reasonable care.</w:t>
      </w:r>
    </w:p>
    <w:p>
      <w:r>
        <w:t>2.2 The Receiving Party may disclose Confidential Information to its Representatives only to the extent necessary for the Purpose, provided that such Representatives are informed of its confidential nature and are bound by written confidentiality obligations no less protective than those in this Agreement. The Receiving Party is responsible for any breach of this Agreement by its Representatives.</w:t>
      </w:r>
    </w:p>
    <w:p>
      <w:r>
        <w:t>2.3 The Receiving Party shall store Credentials only in secure, access-controlled systems, limit access to Credentials to individuals who need them for the Purpose, and shall not transmit complete Credentials by unencrypted email or messaging.</w:t>
      </w:r>
    </w:p>
    <w:p>
      <w:r>
        <w:t>2.4 The Receiving Party shall notify the Disclosing Party without undue delay on becoming aware of any actual or reasonably suspected unauthorised access to, use of, or disclosure of Confidential Information, and shall take reasonable steps to contain it and cooperate with the Disclosing Party.</w:t>
      </w:r>
    </w:p>
    <w:p>
      <w:pPr>
        <w:pStyle w:val="Heading2"/>
      </w:pPr>
      <w:r>
        <w:t>3. Exclusions</w:t>
      </w:r>
    </w:p>
    <w:p>
      <w:r>
        <w:t>3.1 The obligations in clause 2 do not apply to information that the Receiving Party can demonstrate by written records:</w:t>
      </w:r>
    </w:p>
    <w:p>
      <w:pPr>
        <w:ind w:left="480"/>
      </w:pPr>
      <w:r>
        <w:t>(a) is or becomes publicly available other than through a breach of this Agreement;</w:t>
      </w:r>
    </w:p>
    <w:p>
      <w:pPr>
        <w:ind w:left="480"/>
      </w:pPr>
      <w:r>
        <w:t>(b) was lawfully in its possession, free of any confidentiality obligation, before disclosure by the Disclosing Party;</w:t>
      </w:r>
    </w:p>
    <w:p>
      <w:pPr>
        <w:ind w:left="480"/>
      </w:pPr>
      <w:r>
        <w:t>(c) is lawfully received from a third party who is not under a confidentiality obligation in respect of it; or</w:t>
      </w:r>
    </w:p>
    <w:p>
      <w:pPr>
        <w:ind w:left="480"/>
      </w:pPr>
      <w:r>
        <w:t>(d) is independently developed by the Receiving Party without use of or reference to the Confidential Information.</w:t>
      </w:r>
    </w:p>
    <w:p>
      <w:r>
        <w:t>3.2 The exclusions in clause 3.1 shall not apply to Credentials, which shall at all times be treated as Confidential Information.</w:t>
      </w:r>
    </w:p>
    <w:p>
      <w:pPr>
        <w:pStyle w:val="Heading2"/>
      </w:pPr>
      <w:r>
        <w:t>4. Disclosure required by law</w:t>
      </w:r>
    </w:p>
    <w:p>
      <w:r>
        <w:t>4.1 The Receiving Party may disclose Confidential Information to the extent required by applicable law, regulation, or an order of a competent court or governmental authority, provided that, where legally permitted, it gives the Disclosing Party prompt prior written notice, cooperates with any lawful attempt to limit the disclosure, and discloses only the minimum information required.</w:t>
      </w:r>
    </w:p>
    <w:p>
      <w:pPr>
        <w:pStyle w:val="Heading2"/>
      </w:pPr>
      <w:r>
        <w:t>5. No reuse of Credentials and Configuration Materials</w:t>
      </w:r>
    </w:p>
    <w:p>
      <w:r>
        <w:t>5.1 The Receiving Party shall not reuse, copy, adapt, replicate or apply the Disclosing Party's Credentials or Configuration Materials, or those of the Disclosing Party's clients, for the benefit of itself or any third party, including any other client, project or environment.</w:t>
      </w:r>
    </w:p>
    <w:p>
      <w:r>
        <w:t>5.2 Without limiting clause 5.1, the Receiving Party shall not use the Disclosing Party's Credentials, or any password, key or secret derived from them, in any other system or environment.</w:t>
      </w:r>
    </w:p>
    <w:p>
      <w:r>
        <w:t>5.3 Nothing in this clause prevents either Party from using general skills, knowledge and experience, or generally known industry practices and vendor-published guidance, provided that no Confidential Information is disclosed or used.</w:t>
      </w:r>
    </w:p>
    <w:p>
      <w:pPr>
        <w:pStyle w:val="Heading2"/>
      </w:pPr>
      <w:r>
        <w:t>6. Return and destruction</w:t>
      </w:r>
    </w:p>
    <w:p>
      <w:r>
        <w:t>6.1 On the Disclosing Party's written request, or on expiry or termination of this Agreement, the Receiving Party shall within [fourteen (14)] days: (a) return or securely destroy all Confidential Information in its possession or control, including copies, configuration exports and backups; (b) cease using any Credentials and, where it holds administrative access, cooperate with the Disclosing Party in revoking or rotating such Credentials; and (c) on request, confirm in writing that it has complied with this clause.</w:t>
      </w:r>
    </w:p>
    <w:p>
      <w:r>
        <w:t>6.2 The Receiving Party may retain Confidential Information (other than Credentials) only to the extent required by applicable law or contained in routine electronic backups that cannot reasonably be deleted, provided that such retained information remains subject to this Agreement and is not accessed or used for any other purpose.</w:t>
      </w:r>
    </w:p>
    <w:p>
      <w:pPr>
        <w:pStyle w:val="Heading2"/>
      </w:pPr>
      <w:r>
        <w:t>7. Term and survival</w:t>
      </w:r>
    </w:p>
    <w:p>
      <w:r>
        <w:t>7.1 This Agreement commences on the Effective Date and continues for [three (3)] years, unless terminated earlier by either Party on [thirty (30)] days' written notice.</w:t>
      </w:r>
    </w:p>
    <w:p>
      <w:r>
        <w:t>7.2 The obligations of confidentiality and non-use shall survive expiry or termination of this Agreement for [three (3)] years, except that the obligations relating to Credentials and Configuration Materials (including clause 5) shall survive indefinitely, for so long as such information remains confidential.</w:t>
      </w:r>
    </w:p>
    <w:p>
      <w:pPr>
        <w:pStyle w:val="Heading2"/>
      </w:pPr>
      <w:r>
        <w:t>8. No licence, no warranty, no obligation</w:t>
      </w:r>
    </w:p>
    <w:p>
      <w:r>
        <w:t>8.1 All Confidential Information remains the property of the Disclosing Party (or its clients or licensors). No licence or other right is granted under this Agreement, except the limited right to use Confidential Information for the Purpose.</w:t>
      </w:r>
    </w:p>
    <w:p>
      <w:r>
        <w:t>8.2 Confidential Information is provided "as is". Neither Party gives any warranty as to its accuracy or completeness.</w:t>
      </w:r>
    </w:p>
    <w:p>
      <w:r>
        <w:t>8.3 Nothing in this Agreement obliges either Party to enter into any further agreement or transaction.</w:t>
      </w:r>
    </w:p>
    <w:p>
      <w:pPr>
        <w:pStyle w:val="Heading2"/>
      </w:pPr>
      <w:r>
        <w:t>9. Personal data</w:t>
      </w:r>
    </w:p>
    <w:p>
      <w:r>
        <w:t>9.1 Where Confidential Information includes personal data, each Party shall handle it in accordance with applicable data protection law, including UAE Federal Decree-Law No. 45 of 2021 on the Protection of Personal Data where applicable. If either Party will process personal data on the other's behalf, the Parties shall agree appropriate additional terms.</w:t>
      </w:r>
    </w:p>
    <w:p>
      <w:pPr>
        <w:pStyle w:val="Heading2"/>
      </w:pPr>
      <w:r>
        <w:t>10. Remedies</w:t>
      </w:r>
    </w:p>
    <w:p>
      <w:r>
        <w:t>10.1 Each Party acknowledges that a breach of this Agreement may cause the Disclosing Party harm for which damages alone may not be an adequate remedy. The Disclosing Party may, in addition to any other remedy available under applicable law, seek interim, precautionary or injunctive relief from a competent court.</w:t>
      </w:r>
    </w:p>
    <w:p>
      <w:pPr>
        <w:pStyle w:val="Heading2"/>
      </w:pPr>
      <w:r>
        <w:t>11. Notices</w:t>
      </w:r>
    </w:p>
    <w:p>
      <w:r>
        <w:t>11.1 Notices under this Agreement shall be in writing and sent by hand, courier or email to the addresses below (or as updated by written notice):</w:t>
      </w:r>
    </w:p>
    <w:p>
      <w:r>
        <w:t>StorTech: Office 1505, Tower B, Prime Business Center, JVC, Dubai, UAE · info@stortech.ae · Attention: [NAME / TITLE]</w:t>
      </w:r>
    </w:p>
    <w:p>
      <w:r>
        <w:t>Counterparty: [ADDRESS] · [EMAIL] · Attention: [NAME / TITLE]</w:t>
      </w:r>
    </w:p>
    <w:p>
      <w:pPr>
        <w:pStyle w:val="Heading2"/>
      </w:pPr>
      <w:r>
        <w:t>12. Governing law and jurisdiction</w:t>
      </w:r>
    </w:p>
    <w:p>
      <w:r>
        <w:t>12.1 This Agreement is governed by and construed in accordance with the federal laws of the United Arab Emirates and the laws of the Emirate of Dubai as applicable.</w:t>
      </w:r>
    </w:p>
    <w:p>
      <w:r>
        <w:t>12.2 The courts of the Emirate of Dubai (onshore Dubai Courts) shall have exclusive jurisdiction to settle any dispute arising out of or in connection with this Agreement.</w:t>
      </w:r>
    </w:p>
    <w:p>
      <w:pPr>
        <w:pStyle w:val="Heading2"/>
      </w:pPr>
      <w:r>
        <w:t>13. General</w:t>
      </w:r>
    </w:p>
    <w:p>
      <w:r>
        <w:t>13.1 This Agreement constitutes the entire agreement between the Parties regarding its subject matter and supersedes any prior understanding relating to confidentiality for the Purpose.</w:t>
      </w:r>
    </w:p>
    <w:p>
      <w:r>
        <w:t>13.2 Any amendment must be in writing and signed by both Parties. No failure or delay in exercising any right shall operate as a waiver.</w:t>
      </w:r>
    </w:p>
    <w:p>
      <w:r>
        <w:t>13.3 Neither Party may assign this Agreement without the other's prior written consent.</w:t>
      </w:r>
    </w:p>
    <w:p>
      <w:r>
        <w:t>13.4 If any provision is held invalid or unenforceable, the remaining provisions shall continue in full force.</w:t>
      </w:r>
    </w:p>
    <w:p>
      <w:r>
        <w:t>13.5 This Agreement may be executed in counterparts, including by electronic signature, each of which is an original.</w:t>
      </w:r>
    </w:p>
    <w:p>
      <w:r>
        <w:t>13.6 This Agreement is made in the English language. [Note: an Arabic translation may be required for proceedings before the Dubai Courts.]</w:t>
      </w:r>
    </w:p>
    <w:p>
      <w:pPr>
        <w:pStyle w:val="Heading2"/>
      </w:pPr>
      <w:r>
        <w:t>Signatures</w:t>
      </w:r>
    </w:p>
    <w:p>
      <w:r>
        <w:t>Signed by the authorised representatives of the Parties on the dates below.</w:t>
      </w:r>
    </w:p>
    <w:tbl>
      <w:tblPr>
        <w:tblStyle w:val="TableGrid"/>
        <w:tblW w:type="auto" w:w="0"/>
        <w:tblLook w:firstColumn="1" w:firstRow="1" w:lastColumn="0" w:lastRow="0" w:noHBand="0" w:noVBand="1" w:val="04A0"/>
      </w:tblPr>
      <w:tblGrid>
        <w:gridCol w:w="4320"/>
        <w:gridCol w:w="4320"/>
      </w:tblGrid>
      <w:tr>
        <w:tc>
          <w:tcPr>
            <w:tcW w:type="dxa" w:w="4320"/>
          </w:tcPr>
          <w:p>
            <w:r>
              <w:rPr>
                <w:b/>
              </w:rPr>
              <w:t>StorTech Solutions LLC</w:t>
            </w:r>
          </w:p>
        </w:tc>
        <w:tc>
          <w:tcPr>
            <w:tcW w:type="dxa" w:w="4320"/>
          </w:tcPr>
          <w:p>
            <w:r>
              <w:rPr>
                <w:b/>
              </w:rPr>
              <w:t>[COUNTERPARTY LEGAL NAME]</w:t>
            </w:r>
          </w:p>
        </w:tc>
      </w:tr>
      <w:tr>
        <w:tc>
          <w:tcPr>
            <w:tcW w:type="dxa" w:w="4320"/>
          </w:tcPr>
          <w:p>
            <w:r>
              <w:t>Signature: ____________________</w:t>
            </w:r>
          </w:p>
        </w:tc>
        <w:tc>
          <w:tcPr>
            <w:tcW w:type="dxa" w:w="4320"/>
          </w:tcPr>
          <w:p>
            <w:r>
              <w:t>Signature: ____________________</w:t>
            </w:r>
          </w:p>
        </w:tc>
      </w:tr>
      <w:tr>
        <w:tc>
          <w:tcPr>
            <w:tcW w:type="dxa" w:w="4320"/>
          </w:tcPr>
          <w:p>
            <w:r>
              <w:t>Name: [NAME]</w:t>
            </w:r>
          </w:p>
        </w:tc>
        <w:tc>
          <w:tcPr>
            <w:tcW w:type="dxa" w:w="4320"/>
          </w:tcPr>
          <w:p>
            <w:r>
              <w:t>Name: [NAME]</w:t>
            </w:r>
          </w:p>
        </w:tc>
      </w:tr>
      <w:tr>
        <w:tc>
          <w:tcPr>
            <w:tcW w:type="dxa" w:w="4320"/>
          </w:tcPr>
          <w:p>
            <w:r>
              <w:t>Title: [TITLE]</w:t>
            </w:r>
          </w:p>
        </w:tc>
        <w:tc>
          <w:tcPr>
            <w:tcW w:type="dxa" w:w="4320"/>
          </w:tcPr>
          <w:p>
            <w:r>
              <w:t>Title: [TITLE]</w:t>
            </w:r>
          </w:p>
        </w:tc>
      </w:tr>
      <w:tr>
        <w:tc>
          <w:tcPr>
            <w:tcW w:type="dxa" w:w="4320"/>
          </w:tcPr>
          <w:p>
            <w:r>
              <w:t>Date: [DATE]</w:t>
            </w:r>
          </w:p>
        </w:tc>
        <w:tc>
          <w:tcPr>
            <w:tcW w:type="dxa" w:w="4320"/>
          </w:tcPr>
          <w:p>
            <w:r>
              <w:t>Date: [DATE]</w:t>
            </w:r>
          </w:p>
        </w:tc>
      </w:tr>
      <w:tr>
        <w:tc>
          <w:tcPr>
            <w:tcW w:type="dxa" w:w="4320"/>
          </w:tcPr>
          <w:p>
            <w:r>
              <w:t>Company stamp:</w:t>
            </w:r>
          </w:p>
        </w:tc>
        <w:tc>
          <w:tcPr>
            <w:tcW w:type="dxa" w:w="4320"/>
          </w:tcPr>
          <w:p>
            <w:r>
              <w:t>Company stamp:</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StorTech Solutions LLC · Mutual Non-Disclosure Agreement (Sample)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C00000"/>
      </w:rPr>
      <w:t>SAMPLE – review by legal counsel before use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